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5E" w:rsidRPr="00E1495E" w:rsidRDefault="00E1495E" w:rsidP="00E1495E">
      <w:pPr>
        <w:spacing w:after="288" w:line="240" w:lineRule="auto"/>
        <w:outlineLvl w:val="1"/>
        <w:rPr>
          <w:rFonts w:ascii="Helvetica" w:eastAsia="Times New Roman" w:hAnsi="Helvetica" w:cs="Helvetica"/>
          <w:caps/>
          <w:color w:val="009FE3"/>
          <w:sz w:val="27"/>
          <w:szCs w:val="27"/>
          <w:lang w:eastAsia="cs-CZ"/>
        </w:rPr>
      </w:pPr>
      <w:r w:rsidRPr="00E1495E">
        <w:rPr>
          <w:rFonts w:ascii="Helvetica" w:eastAsia="Times New Roman" w:hAnsi="Helvetica" w:cs="Helvetica"/>
          <w:caps/>
          <w:color w:val="009FE3"/>
          <w:sz w:val="27"/>
          <w:szCs w:val="27"/>
          <w:lang w:eastAsia="cs-CZ"/>
        </w:rPr>
        <w:t>JAK NA VYÚČTOVÁNÍ DOTACE MŮJ KLUB 2021?</w:t>
      </w:r>
    </w:p>
    <w:p w:rsidR="00E1495E" w:rsidRPr="00E1495E" w:rsidRDefault="00E1495E" w:rsidP="00E1495E">
      <w:pPr>
        <w:spacing w:after="0" w:line="240" w:lineRule="auto"/>
        <w:rPr>
          <w:rFonts w:ascii="Helvetica" w:eastAsia="Times New Roman" w:hAnsi="Helvetica" w:cs="Helvetica"/>
          <w:color w:val="C5C1C1"/>
          <w:sz w:val="14"/>
          <w:szCs w:val="14"/>
          <w:lang w:eastAsia="cs-CZ"/>
        </w:rPr>
      </w:pPr>
      <w:proofErr w:type="gramStart"/>
      <w:r w:rsidRPr="00E1495E">
        <w:rPr>
          <w:rFonts w:ascii="Helvetica" w:eastAsia="Times New Roman" w:hAnsi="Helvetica" w:cs="Helvetica"/>
          <w:color w:val="C5C1C1"/>
          <w:sz w:val="14"/>
          <w:szCs w:val="14"/>
          <w:lang w:eastAsia="cs-CZ"/>
        </w:rPr>
        <w:t>21.01.2022</w:t>
      </w:r>
      <w:proofErr w:type="gramEnd"/>
    </w:p>
    <w:p w:rsidR="00E1495E" w:rsidRPr="00E1495E" w:rsidRDefault="00E1495E" w:rsidP="00E1495E">
      <w:pPr>
        <w:shd w:val="clear" w:color="auto" w:fill="4A504F"/>
        <w:spacing w:after="46" w:line="240" w:lineRule="auto"/>
        <w:rPr>
          <w:rFonts w:ascii="Helvetica" w:eastAsia="Times New Roman" w:hAnsi="Helvetica" w:cs="Helvetica"/>
          <w:color w:val="FFFFFF"/>
          <w:sz w:val="16"/>
          <w:szCs w:val="16"/>
          <w:lang w:eastAsia="cs-CZ"/>
        </w:rPr>
      </w:pPr>
      <w:hyperlink r:id="rId5" w:history="1">
        <w:r w:rsidRPr="00E1495E">
          <w:rPr>
            <w:rFonts w:ascii="Helvetica" w:eastAsia="Times New Roman" w:hAnsi="Helvetica" w:cs="Helvetica"/>
            <w:color w:val="FFFFFF"/>
            <w:sz w:val="16"/>
            <w:u w:val="single"/>
            <w:lang w:eastAsia="cs-CZ"/>
          </w:rPr>
          <w:t>Dotace a příspěvky</w:t>
        </w:r>
      </w:hyperlink>
    </w:p>
    <w:p w:rsidR="00E1495E" w:rsidRPr="00E1495E" w:rsidRDefault="00E1495E" w:rsidP="00E1495E">
      <w:pPr>
        <w:shd w:val="clear" w:color="auto" w:fill="F4F4F4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Při vyúčtovávání dotace Můj klub 2021 (MK), které je nutné zpracovat </w:t>
      </w: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do 15. 2. 2022,</w:t>
      </w: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 je potřeba:</w:t>
      </w:r>
    </w:p>
    <w:p w:rsidR="00E1495E" w:rsidRPr="00E1495E" w:rsidRDefault="00E1495E" w:rsidP="00E1495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vyplnit tabulku ve formátu Excel obsahující 7 listů</w:t>
      </w:r>
    </w:p>
    <w:p w:rsidR="00E1495E" w:rsidRPr="00E1495E" w:rsidRDefault="00E1495E" w:rsidP="00E1495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doložit výsledovku a účetní sestavu obsahující položky zahrnuté do vyúčtování dotace</w:t>
      </w:r>
    </w:p>
    <w:p w:rsidR="00E1495E" w:rsidRPr="00E1495E" w:rsidRDefault="00E1495E" w:rsidP="00E1495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vyplnit čestné prohlášení ve Wordu</w:t>
      </w:r>
    </w:p>
    <w:p w:rsidR="00E1495E" w:rsidRPr="00E1495E" w:rsidRDefault="00E1495E" w:rsidP="00E1495E">
      <w:pPr>
        <w:shd w:val="clear" w:color="auto" w:fill="F4F4F4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Před samotným vyplňováním si prosím zkontrolujte, zda máte poslední verze tabulek. Pozor – tabulky jsou připraveny na vyplňování v programu Excel 2016! Při vyplňování tabulky s vyúčtováním a vypořádáním dotace MK postupujte od listu č. 1 k listu č. 7:</w:t>
      </w:r>
    </w:p>
    <w:p w:rsidR="00E1495E" w:rsidRPr="00E1495E" w:rsidRDefault="00E1495E" w:rsidP="00E1495E">
      <w:pPr>
        <w:shd w:val="clear" w:color="auto" w:fill="F4F4F4"/>
        <w:spacing w:after="288" w:line="240" w:lineRule="auto"/>
        <w:outlineLvl w:val="1"/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</w:pPr>
      <w:r w:rsidRPr="00E1495E"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  <w:t>LIST Č. 1 – SOUHRNNÉ INFORMACE</w:t>
      </w:r>
    </w:p>
    <w:p w:rsidR="00E1495E" w:rsidRPr="00E1495E" w:rsidRDefault="00E1495E" w:rsidP="00E1495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příjemce = uveďte celý platný název dle spolkového rejstříku</w:t>
      </w:r>
    </w:p>
    <w:p w:rsidR="00E1495E" w:rsidRPr="00E1495E" w:rsidRDefault="00E1495E" w:rsidP="00E1495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IČ = </w:t>
      </w:r>
      <w:proofErr w:type="gramStart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uveďte 8-místné</w:t>
      </w:r>
      <w:proofErr w:type="gramEnd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číslo (vč. počátečních nul)</w:t>
      </w:r>
    </w:p>
    <w:p w:rsidR="00E1495E" w:rsidRPr="00E1495E" w:rsidRDefault="00E1495E" w:rsidP="00E1495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adresa sídla = kompletní adresa (ulice, město) dle spolkového rejstříku</w:t>
      </w:r>
    </w:p>
    <w:p w:rsidR="00E1495E" w:rsidRPr="00E1495E" w:rsidRDefault="00E1495E" w:rsidP="00E1495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kraj = vyberte z nabídky v rolovacím menu</w:t>
      </w:r>
    </w:p>
    <w:p w:rsidR="00E1495E" w:rsidRPr="00E1495E" w:rsidRDefault="00E1495E" w:rsidP="00E1495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číslo žádosti = evidenční číslo najdete na str. 2 v Rozhodnutí o poskytnutí dotace (ROPD)</w:t>
      </w:r>
    </w:p>
    <w:p w:rsidR="00E1495E" w:rsidRPr="00E1495E" w:rsidRDefault="00E1495E" w:rsidP="00E1495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číslo jednací = najdete na 1. straně ROPD</w:t>
      </w:r>
    </w:p>
    <w:p w:rsidR="00E1495E" w:rsidRPr="00E1495E" w:rsidRDefault="00E1495E" w:rsidP="00E1495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výše dotace = uvedeno v dotaci (uvádějte částku vč. haléřů)</w:t>
      </w:r>
    </w:p>
    <w:p w:rsidR="00E1495E" w:rsidRPr="00E1495E" w:rsidRDefault="00E1495E" w:rsidP="00E1495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vyplňte kontaktní osobu</w:t>
      </w:r>
    </w:p>
    <w:p w:rsidR="00E1495E" w:rsidRPr="00E1495E" w:rsidRDefault="00E1495E" w:rsidP="00E1495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doplňte statutární zástupce dle způsobu jednání uvedeného ve stanovách – pokud máte více statutárních zástupců, ale každý může jednat samostatně, stačí uvést jednoho</w:t>
      </w:r>
    </w:p>
    <w:p w:rsidR="00E1495E" w:rsidRPr="00E1495E" w:rsidRDefault="00E1495E" w:rsidP="00E1495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pokud bude za klub jednat osoba na základě plné moci, je nutné plnou moc k vyúčtování přiložit</w:t>
      </w:r>
    </w:p>
    <w:p w:rsidR="00E1495E" w:rsidRPr="00E1495E" w:rsidRDefault="00E1495E" w:rsidP="00E1495E">
      <w:pPr>
        <w:shd w:val="clear" w:color="auto" w:fill="F4F4F4"/>
        <w:spacing w:after="288" w:line="240" w:lineRule="auto"/>
        <w:outlineLvl w:val="1"/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</w:pPr>
      <w:r w:rsidRPr="00E1495E"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  <w:t>LIST Č. 2 – POUŽITÍ DOTACE</w:t>
      </w:r>
    </w:p>
    <w:p w:rsidR="00E1495E" w:rsidRPr="00E1495E" w:rsidRDefault="00E1495E" w:rsidP="00E1495E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hlavička se </w:t>
      </w:r>
      <w:proofErr w:type="spellStart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předvyplní</w:t>
      </w:r>
      <w:proofErr w:type="spellEnd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z informací na listu č. 1</w:t>
      </w:r>
    </w:p>
    <w:p w:rsidR="00E1495E" w:rsidRPr="00E1495E" w:rsidRDefault="00E1495E" w:rsidP="00E1495E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formulář má 3 části – osobní náklady, služby a provozní náklady</w:t>
      </w:r>
    </w:p>
    <w:p w:rsidR="00E1495E" w:rsidRPr="00E1495E" w:rsidRDefault="00E1495E" w:rsidP="00E1495E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osobní náklady</w:t>
      </w: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 – jedná se o osobní náklady dle bodu </w:t>
      </w:r>
      <w:proofErr w:type="gramStart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9.1. b) výzvy</w:t>
      </w:r>
      <w:proofErr w:type="gramEnd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, které jsou poté podrobněji uvedeny na listu č. 5 – Mzdy, DPP, DPČ, odvody</w:t>
      </w:r>
    </w:p>
    <w:p w:rsidR="00E1495E" w:rsidRPr="00E1495E" w:rsidRDefault="00E1495E" w:rsidP="00E1495E">
      <w:pPr>
        <w:numPr>
          <w:ilvl w:val="1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osobní náklady mají 2 limity – 300 Kč/hod. u DPP a DPČ, 50.000 Kč/os./</w:t>
      </w:r>
      <w:proofErr w:type="spellStart"/>
      <w:proofErr w:type="gramStart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měs</w:t>
      </w:r>
      <w:proofErr w:type="spellEnd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. u HPP</w:t>
      </w:r>
      <w:proofErr w:type="gramEnd"/>
    </w:p>
    <w:p w:rsidR="00E1495E" w:rsidRPr="00E1495E" w:rsidRDefault="00E1495E" w:rsidP="00E1495E">
      <w:pPr>
        <w:numPr>
          <w:ilvl w:val="1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POZOR – srážková daň u DPP není zákonným odvodem</w:t>
      </w:r>
    </w:p>
    <w:p w:rsidR="00E1495E" w:rsidRPr="00E1495E" w:rsidRDefault="00E1495E" w:rsidP="00E1495E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služby</w:t>
      </w: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 – jedná se o osobní výkony služeb dle bodu </w:t>
      </w:r>
      <w:proofErr w:type="gramStart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9.1. c) výzvy</w:t>
      </w:r>
      <w:proofErr w:type="gramEnd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, které jsou podrobněji uvedeny na listu č. 6 – OSVČ</w:t>
      </w:r>
    </w:p>
    <w:p w:rsidR="00E1495E" w:rsidRPr="00E1495E" w:rsidRDefault="00E1495E" w:rsidP="00E1495E">
      <w:pPr>
        <w:numPr>
          <w:ilvl w:val="1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u osobních výkonů služeb je stejný limit jako u HPP, tedy 50.000 Kč/měsíc</w:t>
      </w:r>
    </w:p>
    <w:p w:rsidR="00E1495E" w:rsidRPr="00E1495E" w:rsidRDefault="00E1495E" w:rsidP="00E1495E">
      <w:pPr>
        <w:numPr>
          <w:ilvl w:val="1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za osobní výkon služeb můžeme považovat služby, které jsou fakturovány přímo osobou, která služby poskytuje a která do výkonu „vkládá“ zejména svůj čas a práci (např. to mohou být trenérské služby). Mezi tyto služby naopak nepatří např. ubytovací služby, které fakturuje majitel penzionu jako OSVČ</w:t>
      </w:r>
    </w:p>
    <w:p w:rsidR="00E1495E" w:rsidRPr="00E1495E" w:rsidRDefault="00E1495E" w:rsidP="00E1495E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provozní náklady</w:t>
      </w: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– do této části patří veškeré ostatní náklady, které nelze uvést do části „osobní náklady“ a „služby“</w:t>
      </w:r>
    </w:p>
    <w:p w:rsidR="00E1495E" w:rsidRPr="00E1495E" w:rsidRDefault="00E1495E" w:rsidP="00E1495E">
      <w:pPr>
        <w:numPr>
          <w:ilvl w:val="1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POZOR na rozdíly mezi spotřebním materiálem a vybavení drobným hmotným majetkem. Za spotřební materiál považujeme zejména antuku, hnojivo, barvy, laky, elektroinstalační materiál apod. Co je považováno za drobný hmotný majetek by měla určovat interní směrnice spolku – většinou se jedná o hmotné věci s dobou použitelnosti delší než 1 rok a s hodnotou přesahující určitou hranici (např. 10.000 Kč)</w:t>
      </w:r>
    </w:p>
    <w:p w:rsidR="00E1495E" w:rsidRPr="00E1495E" w:rsidRDefault="00E1495E" w:rsidP="00E1495E">
      <w:pPr>
        <w:numPr>
          <w:ilvl w:val="1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mezi „jiné provozní náklady“ můžeme zahrnout také např. spojové služby, internetové připojení, telefonní poplatky, odměny rozhodčích, ekonomické a právní služby poskytované právnickými osobami, opravy sportovního vybavení atd.</w:t>
      </w:r>
    </w:p>
    <w:p w:rsidR="00E1495E" w:rsidRPr="00E1495E" w:rsidRDefault="00E1495E" w:rsidP="00E1495E">
      <w:pPr>
        <w:shd w:val="clear" w:color="auto" w:fill="F4F4F4"/>
        <w:spacing w:after="288" w:line="240" w:lineRule="auto"/>
        <w:outlineLvl w:val="1"/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</w:pPr>
      <w:r w:rsidRPr="00E1495E"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  <w:t>LIST Č. 3 – FINANČNÍ VYPOŘÁDÁNÍ</w:t>
      </w:r>
    </w:p>
    <w:p w:rsidR="00E1495E" w:rsidRPr="00E1495E" w:rsidRDefault="00E1495E" w:rsidP="00E1495E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lastRenderedPageBreak/>
        <w:t>vyplní se automaticky</w:t>
      </w:r>
    </w:p>
    <w:p w:rsidR="00E1495E" w:rsidRPr="00E1495E" w:rsidRDefault="00E1495E" w:rsidP="00E1495E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je potřeba pouze doplnit jméno a kontakt osoby, která vypořádání schválila (statutární zástupce) a osoby, která vypořádání zkontrolovala – nesmí se jednat o stejnou osobu</w:t>
      </w:r>
    </w:p>
    <w:p w:rsidR="00E1495E" w:rsidRPr="00E1495E" w:rsidRDefault="00E1495E" w:rsidP="00E1495E">
      <w:pPr>
        <w:shd w:val="clear" w:color="auto" w:fill="F4F4F4"/>
        <w:spacing w:after="288" w:line="240" w:lineRule="auto"/>
        <w:outlineLvl w:val="1"/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</w:pPr>
      <w:r w:rsidRPr="00E1495E"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  <w:t>LIST Č. 4 – NAPLNĚNÍ ÚČELU DOTACE</w:t>
      </w:r>
    </w:p>
    <w:p w:rsidR="00E1495E" w:rsidRPr="00E1495E" w:rsidRDefault="00E1495E" w:rsidP="00E1495E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hlavička listu se vyplní automaticky</w:t>
      </w:r>
    </w:p>
    <w:p w:rsidR="00E1495E" w:rsidRPr="00E1495E" w:rsidRDefault="00E1495E" w:rsidP="00E1495E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je potřeba doplnit slovní popis čerpání dotace (komentář k číselným údajům na listu č. 2)</w:t>
      </w:r>
    </w:p>
    <w:p w:rsidR="00E1495E" w:rsidRPr="00E1495E" w:rsidRDefault="00E1495E" w:rsidP="00E1495E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snadnější je připravit si text v textovém editoru (Wordu) a poté vložit do tabulky</w:t>
      </w:r>
    </w:p>
    <w:p w:rsidR="00E1495E" w:rsidRPr="00E1495E" w:rsidRDefault="00E1495E" w:rsidP="00E1495E">
      <w:pPr>
        <w:shd w:val="clear" w:color="auto" w:fill="F4F4F4"/>
        <w:spacing w:after="288" w:line="240" w:lineRule="auto"/>
        <w:outlineLvl w:val="1"/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</w:pPr>
      <w:r w:rsidRPr="00E1495E"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  <w:t>LIST Č. 5 – MZDY, DPP, DPČ, ODVODY</w:t>
      </w:r>
    </w:p>
    <w:p w:rsidR="00E1495E" w:rsidRPr="00E1495E" w:rsidRDefault="00E1495E" w:rsidP="00E1495E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navazuje na list č. 2</w:t>
      </w:r>
    </w:p>
    <w:p w:rsidR="00E1495E" w:rsidRPr="00E1495E" w:rsidRDefault="00E1495E" w:rsidP="00E1495E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pokud do vyúčtování dotace MK nepoužijeme mzdové náklady, list nevyplňujeme</w:t>
      </w:r>
    </w:p>
    <w:p w:rsidR="00E1495E" w:rsidRPr="00E1495E" w:rsidRDefault="00E1495E" w:rsidP="00E1495E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účel použití (sloupec F) vychází z účelu dotace uvedeného v ROPD, tedy:</w:t>
      </w:r>
    </w:p>
    <w:p w:rsidR="00E1495E" w:rsidRPr="00E1495E" w:rsidRDefault="00E1495E" w:rsidP="00E1495E">
      <w:pPr>
        <w:numPr>
          <w:ilvl w:val="1"/>
          <w:numId w:val="6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sportovní aktivity dětí</w:t>
      </w:r>
    </w:p>
    <w:p w:rsidR="00E1495E" w:rsidRPr="00E1495E" w:rsidRDefault="00E1495E" w:rsidP="00E1495E">
      <w:pPr>
        <w:numPr>
          <w:ilvl w:val="1"/>
          <w:numId w:val="6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zabezpečení funkce TJ/SK</w:t>
      </w:r>
    </w:p>
    <w:p w:rsidR="00E1495E" w:rsidRPr="00E1495E" w:rsidRDefault="00E1495E" w:rsidP="00E1495E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sloupečky označené modře (G, I, K, L) se vztahují k dotaci, sloupečky označené červeně jsou statistickým údajem doplňujícím informace o čerpání dotace</w:t>
      </w:r>
    </w:p>
    <w:p w:rsidR="00E1495E" w:rsidRPr="00E1495E" w:rsidRDefault="00E1495E" w:rsidP="00E1495E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POZOR – srážková daň nepatří mezi zákonné odvody – zákonným odvodem je 33,8 % z hrubé mzdy, které odvádí zaměstnavatel</w:t>
      </w:r>
    </w:p>
    <w:p w:rsidR="00E1495E" w:rsidRPr="00E1495E" w:rsidRDefault="00E1495E" w:rsidP="00E1495E">
      <w:pPr>
        <w:shd w:val="clear" w:color="auto" w:fill="F4F4F4"/>
        <w:spacing w:after="288" w:line="240" w:lineRule="auto"/>
        <w:outlineLvl w:val="1"/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</w:pPr>
      <w:r w:rsidRPr="00E1495E"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  <w:t>LIST Č. 6 – OSVČ</w:t>
      </w:r>
    </w:p>
    <w:p w:rsidR="00E1495E" w:rsidRPr="00E1495E" w:rsidRDefault="00E1495E" w:rsidP="00E1495E">
      <w:pPr>
        <w:numPr>
          <w:ilvl w:val="0"/>
          <w:numId w:val="7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navazuje na list č. 2</w:t>
      </w:r>
    </w:p>
    <w:p w:rsidR="00E1495E" w:rsidRPr="00E1495E" w:rsidRDefault="00E1495E" w:rsidP="00E1495E">
      <w:pPr>
        <w:numPr>
          <w:ilvl w:val="0"/>
          <w:numId w:val="7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pokud do vyúčtování dotace MK nepoužijeme žádné osobní služby, list nevyplňujeme</w:t>
      </w:r>
    </w:p>
    <w:p w:rsidR="00E1495E" w:rsidRPr="00E1495E" w:rsidRDefault="00E1495E" w:rsidP="00E1495E">
      <w:pPr>
        <w:numPr>
          <w:ilvl w:val="0"/>
          <w:numId w:val="7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účel použití (sloupec G) vychází – stejně jako u mezd – z účelu dotace uvedeného v ROPD (sportovní aktivity dětí, zabezpečení funkce TJ/SK)</w:t>
      </w:r>
    </w:p>
    <w:p w:rsidR="00E1495E" w:rsidRPr="00E1495E" w:rsidRDefault="00E1495E" w:rsidP="00E1495E">
      <w:pPr>
        <w:numPr>
          <w:ilvl w:val="0"/>
          <w:numId w:val="7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sloupečky označené modře (H, I, L) se vztahují k dotaci, sloupečky označené červeně jsou statistickým údajem doplňujícím informace o čerpání dotace</w:t>
      </w:r>
    </w:p>
    <w:p w:rsidR="00E1495E" w:rsidRPr="00E1495E" w:rsidRDefault="00E1495E" w:rsidP="00E1495E">
      <w:pPr>
        <w:shd w:val="clear" w:color="auto" w:fill="F4F4F4"/>
        <w:spacing w:after="288" w:line="240" w:lineRule="auto"/>
        <w:outlineLvl w:val="1"/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</w:pPr>
      <w:r w:rsidRPr="00E1495E"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  <w:t>LIST Č. 7 – PŘEHLED ZDROJŮ</w:t>
      </w:r>
    </w:p>
    <w:p w:rsidR="00E1495E" w:rsidRPr="00E1495E" w:rsidRDefault="00E1495E" w:rsidP="00E1495E">
      <w:pPr>
        <w:numPr>
          <w:ilvl w:val="0"/>
          <w:numId w:val="8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nepovinná příloha</w:t>
      </w:r>
    </w:p>
    <w:p w:rsidR="00E1495E" w:rsidRPr="00E1495E" w:rsidRDefault="00E1495E" w:rsidP="00E1495E">
      <w:pPr>
        <w:numPr>
          <w:ilvl w:val="0"/>
          <w:numId w:val="8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kromě dotace MK 2021 je možné do tabulky uvést další zdroje, které klub používá k financování sportovních aktivit dětí a mládeže</w:t>
      </w:r>
    </w:p>
    <w:p w:rsidR="00E1495E" w:rsidRPr="00E1495E" w:rsidRDefault="00E1495E" w:rsidP="00E1495E">
      <w:pPr>
        <w:shd w:val="clear" w:color="auto" w:fill="F4F4F4"/>
        <w:spacing w:after="288" w:line="240" w:lineRule="auto"/>
        <w:outlineLvl w:val="1"/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</w:pPr>
      <w:r w:rsidRPr="00E1495E"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  <w:t>ČESTNÉ PROHLÁŠENÍ</w:t>
      </w:r>
    </w:p>
    <w:p w:rsidR="00E1495E" w:rsidRPr="00E1495E" w:rsidRDefault="00E1495E" w:rsidP="00E1495E">
      <w:pPr>
        <w:numPr>
          <w:ilvl w:val="0"/>
          <w:numId w:val="9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prohlášení vyplňte za každého statutárního zástupce uvedeného na listu č. 1 – Souhrnné informace ve Vyúčtování a vypořádání</w:t>
      </w:r>
    </w:p>
    <w:p w:rsidR="00E1495E" w:rsidRPr="00E1495E" w:rsidRDefault="00E1495E" w:rsidP="00E1495E">
      <w:pPr>
        <w:shd w:val="clear" w:color="auto" w:fill="F4F4F4"/>
        <w:spacing w:after="288" w:line="240" w:lineRule="auto"/>
        <w:outlineLvl w:val="1"/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</w:pPr>
      <w:r w:rsidRPr="00E1495E"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  <w:t>VÝSTUPY Z ÚČETNICTVÍ</w:t>
      </w:r>
    </w:p>
    <w:p w:rsidR="00E1495E" w:rsidRPr="00E1495E" w:rsidRDefault="00E1495E" w:rsidP="00E1495E">
      <w:pPr>
        <w:numPr>
          <w:ilvl w:val="0"/>
          <w:numId w:val="10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výsledovka</w:t>
      </w: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je sestava nákladů a výnosů, kdy na jedné straně je přijatá dotace a na druhé straně náklady hrazené z dotace. Hospodářský výsledek musí být nulový. V případě jednoduchého účetnictví se bude jednat o přehled příjmů a výdajů týkajících se dotace. I v tomto případě bude výsledek hospodaření nula.</w:t>
      </w:r>
    </w:p>
    <w:p w:rsidR="00E1495E" w:rsidRPr="00E1495E" w:rsidRDefault="00E1495E" w:rsidP="00E1495E">
      <w:pPr>
        <w:numPr>
          <w:ilvl w:val="0"/>
          <w:numId w:val="10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sestava dokladů hrazených z dotace </w:t>
      </w: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může být sestavou vygenerovanou z účetního deníku nebo hlavní knihy. Sestava by měla obsahovat číslo dokladu (např. „PF 210012“), datum zaúčtování položky, popis položky (např. „sportovní dresy“ nebo „ubytování na letním soustředění“), částku hrazenou z dotace (nemusí odpovídat celkové částce uvedené na dokladu)</w:t>
      </w:r>
    </w:p>
    <w:p w:rsidR="00E1495E" w:rsidRPr="00E1495E" w:rsidRDefault="00E1495E" w:rsidP="00E1495E">
      <w:pPr>
        <w:shd w:val="clear" w:color="auto" w:fill="F4F4F4"/>
        <w:spacing w:after="288" w:line="240" w:lineRule="auto"/>
        <w:outlineLvl w:val="1"/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</w:pPr>
      <w:r w:rsidRPr="00E1495E">
        <w:rPr>
          <w:rFonts w:ascii="inherit" w:eastAsia="Times New Roman" w:hAnsi="inherit" w:cs="Helvetica"/>
          <w:caps/>
          <w:color w:val="009FE3"/>
          <w:sz w:val="27"/>
          <w:szCs w:val="27"/>
          <w:lang w:eastAsia="cs-CZ"/>
        </w:rPr>
        <w:lastRenderedPageBreak/>
        <w:t>ODESLÁNÍ VYÚČTOVÁNÍ</w:t>
      </w:r>
    </w:p>
    <w:p w:rsidR="00E1495E" w:rsidRPr="00E1495E" w:rsidRDefault="00E1495E" w:rsidP="00E1495E">
      <w:pPr>
        <w:shd w:val="clear" w:color="auto" w:fill="F4F4F4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Připravené vyúčtování MK je potřeba odeslat na e-</w:t>
      </w:r>
      <w:proofErr w:type="spellStart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mailovou</w:t>
      </w:r>
      <w:proofErr w:type="spellEnd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adresu </w:t>
      </w:r>
      <w:hyperlink r:id="rId6" w:tgtFrame="_blank" w:history="1">
        <w:r w:rsidRPr="00E1495E">
          <w:rPr>
            <w:rFonts w:ascii="Helvetica" w:eastAsia="Times New Roman" w:hAnsi="Helvetica" w:cs="Helvetica"/>
            <w:b/>
            <w:bCs/>
            <w:color w:val="337AB7"/>
            <w:sz w:val="20"/>
            <w:lang w:eastAsia="cs-CZ"/>
          </w:rPr>
          <w:t>podatelnavyuctovani@agenturasport.cz</w:t>
        </w:r>
      </w:hyperlink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. Do předmětu e-</w:t>
      </w:r>
      <w:proofErr w:type="spellStart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mailové</w:t>
      </w:r>
      <w:proofErr w:type="spellEnd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zprávy uveďte „Excel_Vyúčtování 2021_MK21_</w:t>
      </w: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číslo jednací</w:t>
      </w: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“ (číslo jednací je uvedeno na první straně ROPD). E-mailem odešlete tabulku Vyúčtování a vypořádání 2021 v Excelu, výstupy z účetnictví a čestné prohlášení.</w:t>
      </w:r>
    </w:p>
    <w:p w:rsidR="00E1495E" w:rsidRPr="00E1495E" w:rsidRDefault="00E1495E" w:rsidP="00E1495E">
      <w:pPr>
        <w:shd w:val="clear" w:color="auto" w:fill="F4F4F4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Dokumenty je poté potřeba doručit NSA ještě podepsané, a to jedním z těchto způsobů:</w:t>
      </w:r>
    </w:p>
    <w:p w:rsidR="00E1495E" w:rsidRPr="00E1495E" w:rsidRDefault="00E1495E" w:rsidP="00E1495E">
      <w:pPr>
        <w:numPr>
          <w:ilvl w:val="0"/>
          <w:numId w:val="11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pokud disponujete platným kvalifikovaným elektronickým podpisem, připojíte elektronické podpisy k dokumentům a zašlete je e-mailem na adresu </w:t>
      </w:r>
      <w:hyperlink r:id="rId7" w:tgtFrame="_blank" w:history="1">
        <w:r w:rsidRPr="00E1495E">
          <w:rPr>
            <w:rFonts w:ascii="Helvetica" w:eastAsia="Times New Roman" w:hAnsi="Helvetica" w:cs="Helvetica"/>
            <w:b/>
            <w:bCs/>
            <w:color w:val="337AB7"/>
            <w:sz w:val="20"/>
            <w:lang w:eastAsia="cs-CZ"/>
          </w:rPr>
          <w:t>podatelnavyuctovani@agenturasport.cz</w:t>
        </w:r>
      </w:hyperlink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s tím, že e-</w:t>
      </w:r>
      <w:proofErr w:type="spellStart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mailová</w:t>
      </w:r>
      <w:proofErr w:type="spellEnd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zpráva bude mít název </w:t>
      </w: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„Vyúčtování 2021_MK21_číslo jednací“</w:t>
      </w:r>
    </w:p>
    <w:p w:rsidR="00E1495E" w:rsidRPr="00E1495E" w:rsidRDefault="00E1495E" w:rsidP="00E1495E">
      <w:pPr>
        <w:numPr>
          <w:ilvl w:val="0"/>
          <w:numId w:val="11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pokud disponujete datovou schránkou, jednotlivé listy Excelu, výstupy z účetnictví i čestné prohlášení vytiskněte, podepište, orazítkujte a naskenujte. Poté vložíte všechny podepsané dokumenty do datové zprávy, kterou odešlete na NSA (ID datové schránky NSA: vnadiz2). Do předmětu zprávy uveďte </w:t>
      </w: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„Vyúčtování 2021_MK21_číslo jednací“</w:t>
      </w:r>
    </w:p>
    <w:p w:rsidR="00E1495E" w:rsidRPr="00E1495E" w:rsidRDefault="00E1495E" w:rsidP="00E1495E">
      <w:pPr>
        <w:numPr>
          <w:ilvl w:val="0"/>
          <w:numId w:val="11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v listinné podobě osobně na podatelnu NSA nebo doporučeně poštou na adresu Českomoravská 2420/15, 190 00 Praha 9 – obálka musí být označena textem: </w:t>
      </w: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„Vyúčtování 2021_MK21_číslo jednací“</w:t>
      </w:r>
    </w:p>
    <w:p w:rsidR="00E1495E" w:rsidRPr="00E1495E" w:rsidRDefault="00E1495E" w:rsidP="00E1495E">
      <w:pPr>
        <w:numPr>
          <w:ilvl w:val="0"/>
          <w:numId w:val="11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e-mailem na adresu </w:t>
      </w:r>
      <w:hyperlink r:id="rId8" w:tgtFrame="_blank" w:history="1">
        <w:r w:rsidRPr="00E1495E">
          <w:rPr>
            <w:rFonts w:ascii="Helvetica" w:eastAsia="Times New Roman" w:hAnsi="Helvetica" w:cs="Helvetica"/>
            <w:b/>
            <w:bCs/>
            <w:color w:val="337AB7"/>
            <w:sz w:val="20"/>
            <w:lang w:eastAsia="cs-CZ"/>
          </w:rPr>
          <w:t>podatelnavyuctovani@agenturasport.cz</w:t>
        </w:r>
      </w:hyperlink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v případě, že jste využili možnost autorizované konverze listinných dokumentů do elektronické podoby. Název e-</w:t>
      </w:r>
      <w:proofErr w:type="spellStart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mailové</w:t>
      </w:r>
      <w:proofErr w:type="spellEnd"/>
      <w:r w:rsidRPr="00E1495E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zprávy bude </w:t>
      </w:r>
      <w:r w:rsidRPr="00E1495E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„Vyúčtování 2021_MK21_číslo jednací“.</w:t>
      </w:r>
    </w:p>
    <w:p w:rsidR="00E1495E" w:rsidRDefault="00E1495E" w:rsidP="00E1495E">
      <w:pPr>
        <w:shd w:val="clear" w:color="auto" w:fill="F4F4F4"/>
        <w:spacing w:before="115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1"/>
          <w:lang w:eastAsia="cs-CZ"/>
        </w:rPr>
      </w:pPr>
      <w:r w:rsidRPr="00E1495E">
        <w:rPr>
          <w:rFonts w:ascii="inherit" w:eastAsia="Times New Roman" w:hAnsi="inherit" w:cs="Helvetica"/>
          <w:b/>
          <w:bCs/>
          <w:color w:val="333333"/>
          <w:sz w:val="21"/>
          <w:lang w:eastAsia="cs-CZ"/>
        </w:rPr>
        <w:t xml:space="preserve">Podpisy na dokumentech v listinné podobě musí být úředně ověřeny bez ohledu na to, zda je poté doručíte NSA osobně, poštou nebo </w:t>
      </w:r>
      <w:proofErr w:type="spellStart"/>
      <w:r w:rsidRPr="00E1495E">
        <w:rPr>
          <w:rFonts w:ascii="inherit" w:eastAsia="Times New Roman" w:hAnsi="inherit" w:cs="Helvetica"/>
          <w:b/>
          <w:bCs/>
          <w:color w:val="333333"/>
          <w:sz w:val="21"/>
          <w:lang w:eastAsia="cs-CZ"/>
        </w:rPr>
        <w:t>autorizovaně</w:t>
      </w:r>
      <w:proofErr w:type="spellEnd"/>
      <w:r w:rsidRPr="00E1495E">
        <w:rPr>
          <w:rFonts w:ascii="inherit" w:eastAsia="Times New Roman" w:hAnsi="inherit" w:cs="Helvetica"/>
          <w:b/>
          <w:bCs/>
          <w:color w:val="333333"/>
          <w:sz w:val="21"/>
          <w:lang w:eastAsia="cs-CZ"/>
        </w:rPr>
        <w:t xml:space="preserve"> konvertované e-mailem. Ověřený podpis je potřeba na listu č. 1 – souhrnné informace a na čestném prohlášení. </w:t>
      </w:r>
    </w:p>
    <w:p w:rsidR="00E1495E" w:rsidRPr="00E1495E" w:rsidRDefault="00E1495E" w:rsidP="00E1495E">
      <w:pPr>
        <w:shd w:val="clear" w:color="auto" w:fill="F4F4F4"/>
        <w:spacing w:before="115" w:line="240" w:lineRule="auto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Helvetica"/>
          <w:b/>
          <w:bCs/>
          <w:color w:val="333333"/>
          <w:sz w:val="21"/>
          <w:lang w:eastAsia="cs-CZ"/>
        </w:rPr>
        <w:t>Zdroj: PTU Praha</w:t>
      </w:r>
    </w:p>
    <w:sectPr w:rsidR="00E1495E" w:rsidRPr="00E1495E" w:rsidSect="00F9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819"/>
    <w:multiLevelType w:val="multilevel"/>
    <w:tmpl w:val="ADEA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1216"/>
    <w:multiLevelType w:val="multilevel"/>
    <w:tmpl w:val="FEC8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0D23"/>
    <w:multiLevelType w:val="multilevel"/>
    <w:tmpl w:val="30A8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B3EC3"/>
    <w:multiLevelType w:val="multilevel"/>
    <w:tmpl w:val="E484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359E2"/>
    <w:multiLevelType w:val="multilevel"/>
    <w:tmpl w:val="061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D2053"/>
    <w:multiLevelType w:val="multilevel"/>
    <w:tmpl w:val="D39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70074"/>
    <w:multiLevelType w:val="multilevel"/>
    <w:tmpl w:val="0D52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F489A"/>
    <w:multiLevelType w:val="multilevel"/>
    <w:tmpl w:val="09C6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80E24"/>
    <w:multiLevelType w:val="multilevel"/>
    <w:tmpl w:val="36BC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F0EC1"/>
    <w:multiLevelType w:val="multilevel"/>
    <w:tmpl w:val="538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A7B36"/>
    <w:multiLevelType w:val="multilevel"/>
    <w:tmpl w:val="1300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95E"/>
    <w:rsid w:val="007E292B"/>
    <w:rsid w:val="00E1495E"/>
    <w:rsid w:val="00F9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A6F"/>
  </w:style>
  <w:style w:type="paragraph" w:styleId="Nadpis2">
    <w:name w:val="heading 2"/>
    <w:basedOn w:val="Normln"/>
    <w:link w:val="Nadpis2Char"/>
    <w:uiPriority w:val="9"/>
    <w:qFormat/>
    <w:rsid w:val="00E14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149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49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49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495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4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811">
          <w:marLeft w:val="403"/>
          <w:marRight w:val="403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625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265">
                  <w:marLeft w:val="46"/>
                  <w:marRight w:val="46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880">
              <w:blockQuote w:val="1"/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vyuctovani@agenturaspor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vyuctovani@agenturas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vyuctovani@agenturasport.cz" TargetMode="External"/><Relationship Id="rId5" Type="http://schemas.openxmlformats.org/officeDocument/2006/relationships/hyperlink" Target="http://www.ptupraha.cz/2022/01/jak-na-vyuctovani-dotace-muj-klub-2021/?slug=dotace-a-prispevk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6325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</dc:creator>
  <cp:lastModifiedBy>TSUT</cp:lastModifiedBy>
  <cp:revision>1</cp:revision>
  <dcterms:created xsi:type="dcterms:W3CDTF">2022-01-27T12:17:00Z</dcterms:created>
  <dcterms:modified xsi:type="dcterms:W3CDTF">2022-01-27T12:19:00Z</dcterms:modified>
</cp:coreProperties>
</file>